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964929" w14:textId="77777777" w:rsidR="00281EE1" w:rsidRDefault="00281EE1">
      <w:pPr>
        <w:rPr>
          <w:lang w:val="en-US"/>
        </w:rPr>
      </w:pPr>
    </w:p>
    <w:p w14:paraId="717A4448" w14:textId="77777777" w:rsidR="00562F1E" w:rsidRDefault="00562F1E" w:rsidP="00562F1E">
      <w:pPr>
        <w:jc w:val="both"/>
        <w:rPr>
          <w:rFonts w:ascii="Trebuchet MS" w:hAnsi="Trebuchet MS" w:cs="Arial"/>
          <w:b/>
          <w:bCs/>
        </w:rPr>
      </w:pPr>
      <w:r>
        <w:rPr>
          <w:rFonts w:ascii="Trebuchet MS" w:hAnsi="Trebuchet MS" w:cs="Arial"/>
          <w:b/>
          <w:bCs/>
        </w:rPr>
        <w:t>East Sussex County Council May 2024.</w:t>
      </w:r>
    </w:p>
    <w:p w14:paraId="67B2DE90" w14:textId="77777777" w:rsidR="003E12DC" w:rsidRDefault="003E12DC" w:rsidP="00562F1E">
      <w:pPr>
        <w:jc w:val="both"/>
        <w:rPr>
          <w:rFonts w:ascii="Trebuchet MS" w:hAnsi="Trebuchet MS" w:cs="Arial"/>
          <w:b/>
          <w:bCs/>
        </w:rPr>
      </w:pPr>
    </w:p>
    <w:p w14:paraId="321321BE" w14:textId="64167202" w:rsidR="003E12DC" w:rsidRDefault="003E12DC" w:rsidP="00562F1E">
      <w:pPr>
        <w:jc w:val="both"/>
        <w:rPr>
          <w:rFonts w:ascii="Trebuchet MS" w:hAnsi="Trebuchet MS" w:cs="Arial"/>
          <w:b/>
          <w:bCs/>
        </w:rPr>
      </w:pPr>
      <w:r>
        <w:rPr>
          <w:rFonts w:ascii="Trebuchet MS" w:hAnsi="Trebuchet MS" w:cs="Arial"/>
          <w:b/>
          <w:bCs/>
        </w:rPr>
        <w:t>Budget.</w:t>
      </w:r>
    </w:p>
    <w:p w14:paraId="5F607881" w14:textId="10811B35" w:rsidR="00EA0509" w:rsidRPr="00263A78" w:rsidRDefault="00EA0509" w:rsidP="00562F1E">
      <w:pPr>
        <w:jc w:val="both"/>
        <w:rPr>
          <w:rFonts w:cs="Arial"/>
        </w:rPr>
      </w:pPr>
      <w:r w:rsidRPr="00263A78">
        <w:rPr>
          <w:rFonts w:cs="Arial"/>
        </w:rPr>
        <w:t>In 2023/4, the council balanced its budget. There were overspends particularly in Children</w:t>
      </w:r>
      <w:r w:rsidR="00263A78" w:rsidRPr="00263A78">
        <w:rPr>
          <w:rFonts w:cs="Arial"/>
        </w:rPr>
        <w:t>’</w:t>
      </w:r>
      <w:r w:rsidRPr="00263A78">
        <w:rPr>
          <w:rFonts w:cs="Arial"/>
        </w:rPr>
        <w:t>s</w:t>
      </w:r>
      <w:r w:rsidR="00263A78" w:rsidRPr="00263A78">
        <w:rPr>
          <w:rFonts w:cs="Arial"/>
        </w:rPr>
        <w:t xml:space="preserve"> </w:t>
      </w:r>
      <w:proofErr w:type="gramStart"/>
      <w:r w:rsidRPr="00263A78">
        <w:rPr>
          <w:rFonts w:cs="Arial"/>
        </w:rPr>
        <w:t>Services</w:t>
      </w:r>
      <w:proofErr w:type="gramEnd"/>
      <w:r w:rsidRPr="00263A78">
        <w:rPr>
          <w:rFonts w:cs="Arial"/>
        </w:rPr>
        <w:t xml:space="preserve"> but these were offset by more interest from investments and </w:t>
      </w:r>
      <w:r w:rsidR="00263A78" w:rsidRPr="00263A78">
        <w:rPr>
          <w:rFonts w:cs="Arial"/>
        </w:rPr>
        <w:t xml:space="preserve">from </w:t>
      </w:r>
      <w:r w:rsidRPr="00263A78">
        <w:rPr>
          <w:rFonts w:cs="Arial"/>
        </w:rPr>
        <w:t>income generated.</w:t>
      </w:r>
    </w:p>
    <w:p w14:paraId="739A1644" w14:textId="43FD766D" w:rsidR="00EA0509" w:rsidRDefault="00C00DCF" w:rsidP="00C00DCF">
      <w:pPr>
        <w:jc w:val="both"/>
      </w:pPr>
      <w:r>
        <w:t xml:space="preserve">The Council’s budget and Council Plan for 2024/25 were approved at the meeting of Full Council on 6 February 2024. Councillors approved a £538m net revenue budget for 2024/25 with no new cuts to services. The decision not to reduce services was taken despite the rising cost of providing them and funding not keeping pace. </w:t>
      </w:r>
    </w:p>
    <w:p w14:paraId="08929428" w14:textId="57B15DC3" w:rsidR="00C00DCF" w:rsidRDefault="00C00DCF" w:rsidP="00C00DCF">
      <w:pPr>
        <w:jc w:val="both"/>
        <w:rPr>
          <w:rFonts w:ascii="Trebuchet MS" w:hAnsi="Trebuchet MS" w:cs="Arial"/>
        </w:rPr>
      </w:pPr>
      <w:r>
        <w:rPr>
          <w:rFonts w:ascii="Trebuchet MS" w:hAnsi="Trebuchet MS" w:cs="Arial"/>
          <w:b/>
          <w:bCs/>
        </w:rPr>
        <w:t>Revenue Budget 2024/25</w:t>
      </w:r>
    </w:p>
    <w:p w14:paraId="7A4A6A04" w14:textId="77777777" w:rsidR="00C00DCF" w:rsidRPr="00263A78" w:rsidRDefault="00C00DCF" w:rsidP="00263A78">
      <w:pPr>
        <w:jc w:val="both"/>
        <w:rPr>
          <w:rFonts w:cs="Arial"/>
        </w:rPr>
      </w:pPr>
      <w:r w:rsidRPr="00263A78">
        <w:rPr>
          <w:rFonts w:cs="Arial"/>
        </w:rPr>
        <w:t>In meeting service pressures and impact of inflation, the Council made additional investments into services of £51.5m, when the 2024/25 budget was set in February this year. Whilst Council Tax (including Adult Social Precept) was increased by 4.99%, the level of additional income required to support the increased investment and set a balanced budget was not sufficient. A £14.3m draw from reserves was required for 2024/25 to set a balanced budget.</w:t>
      </w:r>
    </w:p>
    <w:p w14:paraId="13D21118" w14:textId="77777777" w:rsidR="00C00DCF" w:rsidRPr="00263A78" w:rsidRDefault="00C00DCF" w:rsidP="00263A78">
      <w:pPr>
        <w:jc w:val="both"/>
        <w:rPr>
          <w:rFonts w:cs="Arial"/>
        </w:rPr>
      </w:pPr>
      <w:r w:rsidRPr="00263A78">
        <w:rPr>
          <w:rFonts w:cs="Arial"/>
        </w:rPr>
        <w:t xml:space="preserve">The Council’s gross revenue budget for 2024/25 totals over £1bn, as set out </w:t>
      </w:r>
      <w:proofErr w:type="gramStart"/>
      <w:r w:rsidRPr="00263A78">
        <w:rPr>
          <w:rFonts w:cs="Arial"/>
        </w:rPr>
        <w:t>below;</w:t>
      </w:r>
      <w:proofErr w:type="gramEnd"/>
      <w:r w:rsidRPr="00263A78">
        <w:rPr>
          <w:rFonts w:cs="Arial"/>
        </w:rPr>
        <w:t xml:space="preserve"> with 74.3% of all planned expenditure providing Adult Social Care, Public Health and Children’s Services.</w:t>
      </w:r>
    </w:p>
    <w:p w14:paraId="0497F9B5" w14:textId="3B5E17BE" w:rsidR="00EA0509" w:rsidRPr="00263A78" w:rsidRDefault="00EA0509" w:rsidP="00263A78">
      <w:pPr>
        <w:jc w:val="both"/>
        <w:rPr>
          <w:rFonts w:cs="Arial"/>
        </w:rPr>
      </w:pPr>
      <w:r w:rsidRPr="00263A78">
        <w:rPr>
          <w:rFonts w:cs="Arial"/>
        </w:rPr>
        <w:t xml:space="preserve">The gross budget includes </w:t>
      </w:r>
      <w:proofErr w:type="gramStart"/>
      <w:r w:rsidRPr="00263A78">
        <w:rPr>
          <w:rFonts w:cs="Arial"/>
        </w:rPr>
        <w:t>schools</w:t>
      </w:r>
      <w:proofErr w:type="gramEnd"/>
      <w:r w:rsidRPr="00263A78">
        <w:rPr>
          <w:rFonts w:cs="Arial"/>
        </w:rPr>
        <w:t xml:space="preserve"> but county just pass on to them money from the government. Income from a range of services explains the remaining difference between gross and net budgets.</w:t>
      </w:r>
    </w:p>
    <w:p w14:paraId="7CE68016" w14:textId="0713E889" w:rsidR="00C00DCF" w:rsidRDefault="00C00DCF" w:rsidP="00C00DCF">
      <w:pPr>
        <w:spacing w:after="0" w:line="240" w:lineRule="auto"/>
        <w:rPr>
          <w:rFonts w:ascii="Times New Roman" w:eastAsia="Times New Roman" w:hAnsi="Times New Roman" w:cs="Times New Roman"/>
          <w:kern w:val="0"/>
          <w:sz w:val="24"/>
          <w:szCs w:val="24"/>
          <w:lang w:eastAsia="en-GB"/>
          <w14:ligatures w14:val="none"/>
        </w:rPr>
      </w:pPr>
      <w:r>
        <w:rPr>
          <w:noProof/>
        </w:rPr>
        <w:drawing>
          <wp:inline distT="0" distB="0" distL="0" distR="0" wp14:anchorId="1ECB2140" wp14:editId="67A38436">
            <wp:extent cx="5038725" cy="3038475"/>
            <wp:effectExtent l="0" t="0" r="9525" b="9525"/>
            <wp:docPr id="1363196051" name="Chart 2">
              <a:extLst xmlns:a="http://schemas.openxmlformats.org/drawingml/2006/main">
                <a:ext uri="{FF2B5EF4-FFF2-40B4-BE49-F238E27FC236}">
                  <a16:creationId xmlns:a16="http://schemas.microsoft.com/office/drawing/2014/main" id="{0BEB0541-449C-BF32-0B3F-B5FC0EDFDAD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14:paraId="31CCB8F0" w14:textId="77777777" w:rsidR="00C00DCF" w:rsidRDefault="00C00DCF" w:rsidP="00C00DCF">
      <w:pPr>
        <w:spacing w:after="0" w:line="240" w:lineRule="auto"/>
        <w:rPr>
          <w:rFonts w:ascii="Trebuchet MS" w:hAnsi="Trebuchet MS"/>
          <w:b/>
          <w:bCs/>
          <w:sz w:val="24"/>
          <w:szCs w:val="24"/>
        </w:rPr>
      </w:pPr>
    </w:p>
    <w:p w14:paraId="15DFAD3A" w14:textId="77777777" w:rsidR="00C00DCF" w:rsidRDefault="00C00DCF" w:rsidP="00C00DCF">
      <w:pPr>
        <w:spacing w:after="0" w:line="240" w:lineRule="auto"/>
        <w:rPr>
          <w:rFonts w:ascii="Trebuchet MS" w:hAnsi="Trebuchet MS"/>
          <w:b/>
          <w:bCs/>
          <w:sz w:val="24"/>
          <w:szCs w:val="24"/>
        </w:rPr>
      </w:pPr>
    </w:p>
    <w:p w14:paraId="66E5B5CA" w14:textId="77777777" w:rsidR="00263A78" w:rsidRDefault="00C00DCF" w:rsidP="00C00DCF">
      <w:pPr>
        <w:rPr>
          <w:b/>
          <w:bCs/>
          <w:sz w:val="24"/>
          <w:szCs w:val="24"/>
        </w:rPr>
      </w:pPr>
      <w:r w:rsidRPr="00263A78">
        <w:rPr>
          <w:b/>
          <w:bCs/>
        </w:rPr>
        <w:t>2024/25 Capital Programme</w:t>
      </w:r>
      <w:r w:rsidRPr="00263A78">
        <w:rPr>
          <w:b/>
          <w:bCs/>
          <w:sz w:val="24"/>
          <w:szCs w:val="24"/>
        </w:rPr>
        <w:t xml:space="preserve"> </w:t>
      </w:r>
    </w:p>
    <w:p w14:paraId="41053BF9" w14:textId="293EBD02" w:rsidR="00C00DCF" w:rsidRPr="00263A78" w:rsidRDefault="00C00DCF" w:rsidP="00263A78">
      <w:pPr>
        <w:jc w:val="both"/>
      </w:pPr>
      <w:r w:rsidRPr="00263A78">
        <w:t xml:space="preserve">The Council is planning to make capital investments of £837.7m over the next 10 years; with a focus on highways, transport, school places and property maintenance. In contrast to the </w:t>
      </w:r>
      <w:r w:rsidRPr="00263A78">
        <w:lastRenderedPageBreak/>
        <w:t>revenue budget, which is driven mainly by costs in Adult Social Care and Children’s Services, over half of the Capital Programme (56%) is planned to be invested in highways and integrated transport services. The planned investment for 2024/25 is set out below:</w:t>
      </w:r>
    </w:p>
    <w:p w14:paraId="5D0F8C17" w14:textId="77777777" w:rsidR="00C00DCF" w:rsidRDefault="00C00DCF" w:rsidP="00C00DCF">
      <w:pPr>
        <w:rPr>
          <w:rFonts w:ascii="Trebuchet MS" w:hAnsi="Trebuchet MS"/>
          <w:b/>
          <w:bCs/>
        </w:rPr>
      </w:pPr>
      <w:r>
        <w:rPr>
          <w:rFonts w:ascii="Trebuchet MS" w:hAnsi="Trebuchet MS"/>
          <w:b/>
          <w:bCs/>
        </w:rPr>
        <w:t>Programme Investment 2024/25 (£96 m):</w:t>
      </w:r>
    </w:p>
    <w:p w14:paraId="387E3B14" w14:textId="7FE936FA" w:rsidR="00C00DCF" w:rsidRDefault="00C00DCF" w:rsidP="00C00DCF">
      <w:pPr>
        <w:rPr>
          <w:rFonts w:ascii="Trebuchet MS" w:hAnsi="Trebuchet MS"/>
        </w:rPr>
      </w:pPr>
      <w:r>
        <w:rPr>
          <w:noProof/>
        </w:rPr>
        <w:drawing>
          <wp:inline distT="0" distB="0" distL="0" distR="0" wp14:anchorId="71C75EF3" wp14:editId="6F49DE7C">
            <wp:extent cx="4962525" cy="3076575"/>
            <wp:effectExtent l="0" t="0" r="9525" b="9525"/>
            <wp:docPr id="527405598" name="Chart 1">
              <a:extLst xmlns:a="http://schemas.openxmlformats.org/drawingml/2006/main">
                <a:ext uri="{FF2B5EF4-FFF2-40B4-BE49-F238E27FC236}">
                  <a16:creationId xmlns:a16="http://schemas.microsoft.com/office/drawing/2014/main" id="{162D6BD9-43FD-AA43-2834-620467E405E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r>
        <w:rPr>
          <w:rFonts w:ascii="Trebuchet MS" w:hAnsi="Trebuchet MS"/>
        </w:rPr>
        <w:t xml:space="preserve"> </w:t>
      </w:r>
    </w:p>
    <w:p w14:paraId="5DAD42B5" w14:textId="77777777" w:rsidR="00C00DCF" w:rsidRDefault="00C00DCF" w:rsidP="00C00DCF">
      <w:pPr>
        <w:rPr>
          <w:rFonts w:ascii="Trebuchet MS" w:hAnsi="Trebuchet MS"/>
        </w:rPr>
      </w:pPr>
    </w:p>
    <w:p w14:paraId="41D78529" w14:textId="06C274AF" w:rsidR="00EA0509" w:rsidRDefault="00EA0509" w:rsidP="00EA0509">
      <w:pPr>
        <w:rPr>
          <w:b/>
          <w:bCs/>
        </w:rPr>
      </w:pPr>
      <w:r>
        <w:rPr>
          <w:b/>
          <w:bCs/>
        </w:rPr>
        <w:t>Children</w:t>
      </w:r>
      <w:r w:rsidR="00263A78">
        <w:rPr>
          <w:b/>
          <w:bCs/>
        </w:rPr>
        <w:t>’</w:t>
      </w:r>
      <w:r>
        <w:rPr>
          <w:b/>
          <w:bCs/>
        </w:rPr>
        <w:t>s Services.</w:t>
      </w:r>
    </w:p>
    <w:p w14:paraId="4FAF2D87" w14:textId="0995994D" w:rsidR="00C00DCF" w:rsidRDefault="00EA0509" w:rsidP="00F400AF">
      <w:pPr>
        <w:jc w:val="both"/>
      </w:pPr>
      <w:r>
        <w:t>An inspection of the Council’s Children’s Services by the Office for Standards in Education, Children’s Services and Skills (Ofsted) took place in December 2023. The inspection report published on 6 February 2024, found that the lives of the most vulnerable children in East Sussex are improved by ‘consistently strong and effective’ support. The help, protection and care children and young people are receiving from the Council earned an overall ‘good’ rating, while inspectors found the experiences and progress of children in care to be ‘outstanding'. This report is set against the context of rising demand for Children’s Social Care services and increased complexity of needs. Increases in costs have been particularly acute in looked after children’s care costs, in particular external residential costs (with average costs increasing by 13% between quarters 1 and 2) and support for children with the most complex needs.</w:t>
      </w:r>
    </w:p>
    <w:p w14:paraId="433C1510" w14:textId="5E5B26B8" w:rsidR="00EA0509" w:rsidRDefault="00EA0509" w:rsidP="00F400AF">
      <w:pPr>
        <w:jc w:val="both"/>
      </w:pPr>
      <w:r>
        <w:rPr>
          <w:b/>
          <w:bCs/>
        </w:rPr>
        <w:t>Roads.</w:t>
      </w:r>
    </w:p>
    <w:p w14:paraId="1D47A79F" w14:textId="785E63F1" w:rsidR="00EA0509" w:rsidRDefault="00EA0509" w:rsidP="00F400AF">
      <w:pPr>
        <w:jc w:val="both"/>
      </w:pPr>
      <w:r>
        <w:t>The new contractor, Balfour Beatty, was appointed last May and has since filled 23</w:t>
      </w:r>
      <w:r w:rsidR="00F400AF">
        <w:t>,</w:t>
      </w:r>
      <w:r>
        <w:t>000 potholes. The number keeps growing, of course, and it is a battle to keep up with the continuing wet weather. April 2024 was apparently the wettest since 1836.</w:t>
      </w:r>
    </w:p>
    <w:p w14:paraId="4358D10C" w14:textId="51A61171" w:rsidR="00EA0509" w:rsidRDefault="00EA0509" w:rsidP="00F400AF">
      <w:pPr>
        <w:jc w:val="both"/>
      </w:pPr>
      <w:r>
        <w:t>County has also put £15m more into highways maintenance to do a lot of patching and major repairs. It still isn’t enough ad there are many problem roads locally despite a lot of pressure to try to get some improvements. Some local roads are due for work soon but no point in counting chickens.</w:t>
      </w:r>
    </w:p>
    <w:p w14:paraId="3CC8A608" w14:textId="161E83C1" w:rsidR="00D17C04" w:rsidRDefault="00D17C04" w:rsidP="00F400AF">
      <w:pPr>
        <w:jc w:val="both"/>
        <w:rPr>
          <w:b/>
          <w:bCs/>
        </w:rPr>
      </w:pPr>
      <w:r>
        <w:rPr>
          <w:b/>
          <w:bCs/>
        </w:rPr>
        <w:t>Other services.</w:t>
      </w:r>
    </w:p>
    <w:p w14:paraId="1FE882F3" w14:textId="7FB3016D" w:rsidR="00D17C04" w:rsidRDefault="00D17C04" w:rsidP="00F400AF">
      <w:pPr>
        <w:jc w:val="both"/>
      </w:pPr>
      <w:r>
        <w:lastRenderedPageBreak/>
        <w:t xml:space="preserve">The services highlighted are perhaps the </w:t>
      </w:r>
      <w:r w:rsidR="00F400AF">
        <w:t>highest</w:t>
      </w:r>
      <w:r>
        <w:t xml:space="preserve"> profile although the biggest spend is on Adult Social Care.</w:t>
      </w:r>
    </w:p>
    <w:p w14:paraId="14B649ED" w14:textId="5A47ACC0" w:rsidR="00D17C04" w:rsidRDefault="00D17C04" w:rsidP="00F400AF">
      <w:pPr>
        <w:jc w:val="both"/>
      </w:pPr>
      <w:proofErr w:type="gramStart"/>
      <w:r>
        <w:t>Nevertheless</w:t>
      </w:r>
      <w:proofErr w:type="gramEnd"/>
      <w:r>
        <w:t xml:space="preserve"> County </w:t>
      </w:r>
      <w:r w:rsidR="00F400AF">
        <w:t>does a</w:t>
      </w:r>
      <w:r>
        <w:t xml:space="preserve"> lot more such as Trading Standards, Registration services, Libraries, Public Health, economic support to name a few.</w:t>
      </w:r>
    </w:p>
    <w:p w14:paraId="78C62064" w14:textId="77777777" w:rsidR="00D17C04" w:rsidRDefault="00D17C04" w:rsidP="00EA0509"/>
    <w:p w14:paraId="15D1747F" w14:textId="05BD929F" w:rsidR="00D17C04" w:rsidRDefault="00D17C04" w:rsidP="00EA0509">
      <w:r>
        <w:t xml:space="preserve">Roy Galley   </w:t>
      </w:r>
    </w:p>
    <w:p w14:paraId="46463702" w14:textId="77777777" w:rsidR="00D17C04" w:rsidRDefault="00D17C04" w:rsidP="00EA0509"/>
    <w:p w14:paraId="6DD3DA28" w14:textId="3F49FDBC" w:rsidR="00D17C04" w:rsidRPr="00D17C04" w:rsidRDefault="00D17C04" w:rsidP="00EA0509">
      <w:pPr>
        <w:rPr>
          <w:rFonts w:ascii="Trebuchet MS" w:hAnsi="Trebuchet MS" w:cs="Arial"/>
          <w:iCs/>
        </w:rPr>
      </w:pPr>
      <w:r>
        <w:t>May 2024</w:t>
      </w:r>
    </w:p>
    <w:sectPr w:rsidR="00D17C04" w:rsidRPr="00D17C0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2B6"/>
    <w:rsid w:val="001C57D2"/>
    <w:rsid w:val="00237B21"/>
    <w:rsid w:val="00263A78"/>
    <w:rsid w:val="00281EE1"/>
    <w:rsid w:val="002F25B0"/>
    <w:rsid w:val="003E12DC"/>
    <w:rsid w:val="00460354"/>
    <w:rsid w:val="00562F1E"/>
    <w:rsid w:val="00C00DCF"/>
    <w:rsid w:val="00D17C04"/>
    <w:rsid w:val="00EA0509"/>
    <w:rsid w:val="00F400AF"/>
    <w:rsid w:val="00FA62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5EA09"/>
  <w15:chartTrackingRefBased/>
  <w15:docId w15:val="{FDF375EA-9ABD-4DCC-BCF8-946D94324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2F1E"/>
    <w:pPr>
      <w:spacing w:line="256" w:lineRule="auto"/>
    </w:pPr>
  </w:style>
  <w:style w:type="paragraph" w:styleId="Heading1">
    <w:name w:val="heading 1"/>
    <w:basedOn w:val="Normal"/>
    <w:next w:val="Normal"/>
    <w:link w:val="Heading1Char"/>
    <w:uiPriority w:val="9"/>
    <w:qFormat/>
    <w:rsid w:val="00FA62B6"/>
    <w:pPr>
      <w:keepNext/>
      <w:keepLines/>
      <w:spacing w:before="360" w:after="80" w:line="259" w:lineRule="auto"/>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A62B6"/>
    <w:pPr>
      <w:keepNext/>
      <w:keepLines/>
      <w:spacing w:before="160" w:after="80" w:line="259" w:lineRule="auto"/>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A62B6"/>
    <w:pPr>
      <w:keepNext/>
      <w:keepLines/>
      <w:spacing w:before="160" w:after="80" w:line="259" w:lineRule="auto"/>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A62B6"/>
    <w:pPr>
      <w:keepNext/>
      <w:keepLines/>
      <w:spacing w:before="80" w:after="40" w:line="259" w:lineRule="auto"/>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A62B6"/>
    <w:pPr>
      <w:keepNext/>
      <w:keepLines/>
      <w:spacing w:before="80" w:after="40" w:line="259" w:lineRule="auto"/>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A62B6"/>
    <w:pPr>
      <w:keepNext/>
      <w:keepLines/>
      <w:spacing w:before="40" w:after="0" w:line="259" w:lineRule="auto"/>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A62B6"/>
    <w:pPr>
      <w:keepNext/>
      <w:keepLines/>
      <w:spacing w:before="40" w:after="0" w:line="259" w:lineRule="auto"/>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A62B6"/>
    <w:pPr>
      <w:keepNext/>
      <w:keepLines/>
      <w:spacing w:after="0" w:line="259" w:lineRule="auto"/>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A62B6"/>
    <w:pPr>
      <w:keepNext/>
      <w:keepLines/>
      <w:spacing w:after="0" w:line="259" w:lineRule="auto"/>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62B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A62B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A62B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A62B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A62B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A62B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A62B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A62B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A62B6"/>
    <w:rPr>
      <w:rFonts w:eastAsiaTheme="majorEastAsia" w:cstheme="majorBidi"/>
      <w:color w:val="272727" w:themeColor="text1" w:themeTint="D8"/>
    </w:rPr>
  </w:style>
  <w:style w:type="paragraph" w:styleId="Title">
    <w:name w:val="Title"/>
    <w:basedOn w:val="Normal"/>
    <w:next w:val="Normal"/>
    <w:link w:val="TitleChar"/>
    <w:uiPriority w:val="10"/>
    <w:qFormat/>
    <w:rsid w:val="00FA62B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A62B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A62B6"/>
    <w:pPr>
      <w:numPr>
        <w:ilvl w:val="1"/>
      </w:numPr>
      <w:spacing w:line="259" w:lineRule="auto"/>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A62B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A62B6"/>
    <w:pPr>
      <w:spacing w:before="160" w:line="259" w:lineRule="auto"/>
      <w:jc w:val="center"/>
    </w:pPr>
    <w:rPr>
      <w:i/>
      <w:iCs/>
      <w:color w:val="404040" w:themeColor="text1" w:themeTint="BF"/>
    </w:rPr>
  </w:style>
  <w:style w:type="character" w:customStyle="1" w:styleId="QuoteChar">
    <w:name w:val="Quote Char"/>
    <w:basedOn w:val="DefaultParagraphFont"/>
    <w:link w:val="Quote"/>
    <w:uiPriority w:val="29"/>
    <w:rsid w:val="00FA62B6"/>
    <w:rPr>
      <w:i/>
      <w:iCs/>
      <w:color w:val="404040" w:themeColor="text1" w:themeTint="BF"/>
    </w:rPr>
  </w:style>
  <w:style w:type="paragraph" w:styleId="ListParagraph">
    <w:name w:val="List Paragraph"/>
    <w:basedOn w:val="Normal"/>
    <w:uiPriority w:val="34"/>
    <w:qFormat/>
    <w:rsid w:val="00FA62B6"/>
    <w:pPr>
      <w:spacing w:line="259" w:lineRule="auto"/>
      <w:ind w:left="720"/>
      <w:contextualSpacing/>
    </w:pPr>
  </w:style>
  <w:style w:type="character" w:styleId="IntenseEmphasis">
    <w:name w:val="Intense Emphasis"/>
    <w:basedOn w:val="DefaultParagraphFont"/>
    <w:uiPriority w:val="21"/>
    <w:qFormat/>
    <w:rsid w:val="00FA62B6"/>
    <w:rPr>
      <w:i/>
      <w:iCs/>
      <w:color w:val="0F4761" w:themeColor="accent1" w:themeShade="BF"/>
    </w:rPr>
  </w:style>
  <w:style w:type="paragraph" w:styleId="IntenseQuote">
    <w:name w:val="Intense Quote"/>
    <w:basedOn w:val="Normal"/>
    <w:next w:val="Normal"/>
    <w:link w:val="IntenseQuoteChar"/>
    <w:uiPriority w:val="30"/>
    <w:qFormat/>
    <w:rsid w:val="00FA62B6"/>
    <w:pPr>
      <w:pBdr>
        <w:top w:val="single" w:sz="4" w:space="10" w:color="0F4761" w:themeColor="accent1" w:themeShade="BF"/>
        <w:bottom w:val="single" w:sz="4" w:space="10" w:color="0F4761" w:themeColor="accent1" w:themeShade="BF"/>
      </w:pBdr>
      <w:spacing w:before="360" w:after="360" w:line="259" w:lineRule="auto"/>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A62B6"/>
    <w:rPr>
      <w:i/>
      <w:iCs/>
      <w:color w:val="0F4761" w:themeColor="accent1" w:themeShade="BF"/>
    </w:rPr>
  </w:style>
  <w:style w:type="character" w:styleId="IntenseReference">
    <w:name w:val="Intense Reference"/>
    <w:basedOn w:val="DefaultParagraphFont"/>
    <w:uiPriority w:val="32"/>
    <w:qFormat/>
    <w:rsid w:val="00FA62B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7285796">
      <w:bodyDiv w:val="1"/>
      <w:marLeft w:val="0"/>
      <w:marRight w:val="0"/>
      <w:marTop w:val="0"/>
      <w:marBottom w:val="0"/>
      <w:divBdr>
        <w:top w:val="none" w:sz="0" w:space="0" w:color="auto"/>
        <w:left w:val="none" w:sz="0" w:space="0" w:color="auto"/>
        <w:bottom w:val="none" w:sz="0" w:space="0" w:color="auto"/>
        <w:right w:val="none" w:sz="0" w:space="0" w:color="auto"/>
      </w:divBdr>
    </w:div>
    <w:div w:id="1580557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hart" Target="charts/chart2.xml"/><Relationship Id="rId4"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chartUserShapes" Target="../drawings/drawing1.xml"/><Relationship Id="rId4" Type="http://schemas.openxmlformats.org/officeDocument/2006/relationships/oleObject" Target="file:///C:\Users\thomasa\AppData\Local\Microsoft\Windows\INetCache\Content.Outlook\GFKDQ0UG\Capital%20Graph.xlsx" TargetMode="External"/></Relationships>
</file>

<file path=word/charts/_rels/chart2.xml.rels><?xml version="1.0" encoding="UTF-8" standalone="yes"?>
<Relationships xmlns="http://schemas.openxmlformats.org/package/2006/relationships"><Relationship Id="rId3" Type="http://schemas.openxmlformats.org/officeDocument/2006/relationships/oleObject" Target="../embeddings/oleObject1.bin"/><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doughnut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D022-43EA-8B86-ECF77DBDC392}"/>
              </c:ext>
            </c:extLst>
          </c:dPt>
          <c:dPt>
            <c:idx val="1"/>
            <c:bubble3D val="0"/>
            <c:spPr>
              <a:solidFill>
                <a:srgbClr val="C00000"/>
              </a:solidFill>
              <a:ln w="19050">
                <a:solidFill>
                  <a:schemeClr val="lt1"/>
                </a:solidFill>
              </a:ln>
              <a:effectLst/>
            </c:spPr>
            <c:extLst>
              <c:ext xmlns:c16="http://schemas.microsoft.com/office/drawing/2014/chart" uri="{C3380CC4-5D6E-409C-BE32-E72D297353CC}">
                <c16:uniqueId val="{00000003-D022-43EA-8B86-ECF77DBDC392}"/>
              </c:ext>
            </c:extLst>
          </c:dPt>
          <c:dPt>
            <c:idx val="2"/>
            <c:bubble3D val="0"/>
            <c:spPr>
              <a:solidFill>
                <a:schemeClr val="accent6"/>
              </a:solidFill>
              <a:ln w="19050">
                <a:solidFill>
                  <a:schemeClr val="lt1"/>
                </a:solidFill>
              </a:ln>
              <a:effectLst/>
            </c:spPr>
            <c:extLst>
              <c:ext xmlns:c16="http://schemas.microsoft.com/office/drawing/2014/chart" uri="{C3380CC4-5D6E-409C-BE32-E72D297353CC}">
                <c16:uniqueId val="{00000005-D022-43EA-8B86-ECF77DBDC392}"/>
              </c:ext>
            </c:extLst>
          </c:dPt>
          <c:dPt>
            <c:idx val="3"/>
            <c:bubble3D val="0"/>
            <c:spPr>
              <a:solidFill>
                <a:srgbClr val="FFC000"/>
              </a:solidFill>
              <a:ln w="19050">
                <a:solidFill>
                  <a:schemeClr val="lt1"/>
                </a:solidFill>
              </a:ln>
              <a:effectLst/>
            </c:spPr>
            <c:extLst>
              <c:ext xmlns:c16="http://schemas.microsoft.com/office/drawing/2014/chart" uri="{C3380CC4-5D6E-409C-BE32-E72D297353CC}">
                <c16:uniqueId val="{00000007-D022-43EA-8B86-ECF77DBDC392}"/>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D022-43EA-8B86-ECF77DBDC392}"/>
              </c:ext>
            </c:extLst>
          </c:dPt>
          <c:dPt>
            <c:idx val="5"/>
            <c:bubble3D val="0"/>
            <c:spPr>
              <a:solidFill>
                <a:srgbClr val="7030A0"/>
              </a:solidFill>
              <a:ln w="19050">
                <a:solidFill>
                  <a:schemeClr val="lt1"/>
                </a:solidFill>
              </a:ln>
              <a:effectLst/>
            </c:spPr>
            <c:extLst>
              <c:ext xmlns:c16="http://schemas.microsoft.com/office/drawing/2014/chart" uri="{C3380CC4-5D6E-409C-BE32-E72D297353CC}">
                <c16:uniqueId val="{0000000B-D022-43EA-8B86-ECF77DBDC392}"/>
              </c:ext>
            </c:extLst>
          </c:dPt>
          <c:dPt>
            <c:idx val="6"/>
            <c:bubble3D val="0"/>
            <c:spPr>
              <a:solidFill>
                <a:schemeClr val="accent2"/>
              </a:solidFill>
              <a:ln w="19050">
                <a:solidFill>
                  <a:schemeClr val="lt1"/>
                </a:solidFill>
              </a:ln>
              <a:effectLst/>
            </c:spPr>
            <c:extLst>
              <c:ext xmlns:c16="http://schemas.microsoft.com/office/drawing/2014/chart" uri="{C3380CC4-5D6E-409C-BE32-E72D297353CC}">
                <c16:uniqueId val="{0000000D-D022-43EA-8B86-ECF77DBDC392}"/>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D022-43EA-8B86-ECF77DBDC392}"/>
              </c:ext>
            </c:extLst>
          </c:dPt>
          <c:dLbls>
            <c:dLbl>
              <c:idx val="0"/>
              <c:layout>
                <c:manualLayout>
                  <c:x val="-0.22500000000000001"/>
                  <c:y val="-0.14322921058741334"/>
                </c:manualLayout>
              </c:layout>
              <c:tx>
                <c:rich>
                  <a:bodyPr/>
                  <a:lstStyle/>
                  <a:p>
                    <a:fld id="{0ABF21FB-9AD0-432B-985B-5A3ADC282241}" type="CATEGORYNAME">
                      <a:rPr lang="en-US"/>
                      <a:pPr/>
                      <a:t>[CATEGORY NAME]</a:t>
                    </a:fld>
                    <a:r>
                      <a:rPr lang="en-US" baseline="0"/>
                      <a:t>, £</a:t>
                    </a:r>
                    <a:fld id="{AC4C3917-9DFF-4382-846E-589C0E154665}" type="VALUE">
                      <a:rPr lang="en-US" baseline="0"/>
                      <a:pPr/>
                      <a:t>[VALUE]</a:t>
                    </a:fld>
                    <a:r>
                      <a:rPr lang="en-US" baseline="0"/>
                      <a:t>m</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D022-43EA-8B86-ECF77DBDC392}"/>
                </c:ext>
              </c:extLst>
            </c:dLbl>
            <c:dLbl>
              <c:idx val="1"/>
              <c:layout>
                <c:manualLayout>
                  <c:x val="0.16388888888888889"/>
                  <c:y val="-0.14655675101722693"/>
                </c:manualLayout>
              </c:layout>
              <c:tx>
                <c:rich>
                  <a:bodyPr/>
                  <a:lstStyle/>
                  <a:p>
                    <a:fld id="{403FB9DE-351E-4FF4-A131-BDE6CD028A84}" type="CATEGORYNAME">
                      <a:rPr lang="en-US"/>
                      <a:pPr/>
                      <a:t>[CATEGORY NAME]</a:t>
                    </a:fld>
                    <a:r>
                      <a:rPr lang="en-US" baseline="0"/>
                      <a:t>, £</a:t>
                    </a:r>
                    <a:fld id="{281167AB-E499-42C8-9FAF-7B5A96612DC1}" type="VALUE">
                      <a:rPr lang="en-US" baseline="0"/>
                      <a:pPr/>
                      <a:t>[VALUE]</a:t>
                    </a:fld>
                    <a:r>
                      <a:rPr lang="en-US" baseline="0"/>
                      <a:t>m</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D022-43EA-8B86-ECF77DBDC392}"/>
                </c:ext>
              </c:extLst>
            </c:dLbl>
            <c:dLbl>
              <c:idx val="2"/>
              <c:layout>
                <c:manualLayout>
                  <c:x val="0.2638888888888889"/>
                  <c:y val="-0.13353581582514068"/>
                </c:manualLayout>
              </c:layout>
              <c:tx>
                <c:rich>
                  <a:bodyPr/>
                  <a:lstStyle/>
                  <a:p>
                    <a:fld id="{FA833CD5-B32B-4996-8AB2-CBBE23EB23FE}" type="CATEGORYNAME">
                      <a:rPr lang="en-US"/>
                      <a:pPr/>
                      <a:t>[CATEGORY NAME]</a:t>
                    </a:fld>
                    <a:r>
                      <a:rPr lang="en-US" baseline="0"/>
                      <a:t>, £</a:t>
                    </a:r>
                    <a:fld id="{F1A9ADED-13B1-4B7C-B18E-9FCD280F356D}" type="VALUE">
                      <a:rPr lang="en-US" baseline="0"/>
                      <a:pPr/>
                      <a:t>[VALUE]</a:t>
                    </a:fld>
                    <a:r>
                      <a:rPr lang="en-US" baseline="0"/>
                      <a:t>m</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D022-43EA-8B86-ECF77DBDC392}"/>
                </c:ext>
              </c:extLst>
            </c:dLbl>
            <c:dLbl>
              <c:idx val="3"/>
              <c:layout>
                <c:manualLayout>
                  <c:x val="0.25317672790901136"/>
                  <c:y val="-6.6044482752805014E-2"/>
                </c:manualLayout>
              </c:layout>
              <c:tx>
                <c:rich>
                  <a:bodyPr/>
                  <a:lstStyle/>
                  <a:p>
                    <a:fld id="{B9E72753-3417-49B9-8B52-C4E84EEAB241}" type="CATEGORYNAME">
                      <a:rPr lang="en-US"/>
                      <a:pPr/>
                      <a:t>[CATEGORY NAME]</a:t>
                    </a:fld>
                    <a:r>
                      <a:rPr lang="en-US" baseline="0"/>
                      <a:t>, £</a:t>
                    </a:r>
                    <a:fld id="{8B57E095-D28A-49E9-8393-746E7AE654AF}" type="VALUE">
                      <a:rPr lang="en-US" baseline="0"/>
                      <a:pPr/>
                      <a:t>[VALUE]</a:t>
                    </a:fld>
                    <a:r>
                      <a:rPr lang="en-US" baseline="0"/>
                      <a:t>m</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D022-43EA-8B86-ECF77DBDC392}"/>
                </c:ext>
              </c:extLst>
            </c:dLbl>
            <c:dLbl>
              <c:idx val="4"/>
              <c:layout>
                <c:manualLayout>
                  <c:x val="0.22718810148731408"/>
                  <c:y val="0.16659447964882301"/>
                </c:manualLayout>
              </c:layout>
              <c:tx>
                <c:rich>
                  <a:bodyPr/>
                  <a:lstStyle/>
                  <a:p>
                    <a:fld id="{0A5243D1-DDB4-4641-A5B7-DADADBE031BD}" type="CATEGORYNAME">
                      <a:rPr lang="en-US"/>
                      <a:pPr/>
                      <a:t>[CATEGORY NAME]</a:t>
                    </a:fld>
                    <a:r>
                      <a:rPr lang="en-US" baseline="0"/>
                      <a:t>, £</a:t>
                    </a:r>
                    <a:fld id="{95E929C0-B167-46B1-A677-2B1211CCEBB2}" type="VALUE">
                      <a:rPr lang="en-US" baseline="0"/>
                      <a:pPr/>
                      <a:t>[VALUE]</a:t>
                    </a:fld>
                    <a:r>
                      <a:rPr lang="en-US" baseline="0"/>
                      <a:t>m</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D022-43EA-8B86-ECF77DBDC392}"/>
                </c:ext>
              </c:extLst>
            </c:dLbl>
            <c:dLbl>
              <c:idx val="5"/>
              <c:layout>
                <c:manualLayout>
                  <c:x val="-0.26944444444444443"/>
                  <c:y val="0.13975705689401571"/>
                </c:manualLayout>
              </c:layout>
              <c:tx>
                <c:rich>
                  <a:bodyPr/>
                  <a:lstStyle/>
                  <a:p>
                    <a:fld id="{919BAC75-4BF3-454A-9EF9-076C2A8C65B0}" type="CATEGORYNAME">
                      <a:rPr lang="en-US"/>
                      <a:pPr/>
                      <a:t>[CATEGORY NAME]</a:t>
                    </a:fld>
                    <a:r>
                      <a:rPr lang="en-US" baseline="0"/>
                      <a:t>, £</a:t>
                    </a:r>
                    <a:fld id="{C7B9725A-0813-4FFD-B490-4730C71E4666}" type="VALUE">
                      <a:rPr lang="en-US" baseline="0"/>
                      <a:pPr/>
                      <a:t>[VALUE]</a:t>
                    </a:fld>
                    <a:r>
                      <a:rPr lang="en-US" baseline="0"/>
                      <a:t>m</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B-D022-43EA-8B86-ECF77DBDC392}"/>
                </c:ext>
              </c:extLst>
            </c:dLbl>
            <c:dLbl>
              <c:idx val="6"/>
              <c:layout>
                <c:manualLayout>
                  <c:x val="-0.18888888888888888"/>
                  <c:y val="1.8952590891948097E-2"/>
                </c:manualLayout>
              </c:layout>
              <c:tx>
                <c:rich>
                  <a:bodyPr/>
                  <a:lstStyle/>
                  <a:p>
                    <a:fld id="{35E3622E-25CB-4E5F-8AD8-0FE9619A4FAA}" type="CATEGORYNAME">
                      <a:rPr lang="en-US"/>
                      <a:pPr/>
                      <a:t>[CATEGORY NAME]</a:t>
                    </a:fld>
                    <a:r>
                      <a:rPr lang="en-US" baseline="0"/>
                      <a:t>, £</a:t>
                    </a:r>
                    <a:fld id="{8665DCD2-213D-4C54-BBAB-414A5A89C0BE}" type="VALUE">
                      <a:rPr lang="en-US" baseline="0"/>
                      <a:pPr/>
                      <a:t>[VALUE]</a:t>
                    </a:fld>
                    <a:r>
                      <a:rPr lang="en-US" baseline="0"/>
                      <a:t>m</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D-D022-43EA-8B86-ECF77DBDC392}"/>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rebuchet MS" panose="020B0603020202020204" pitchFamily="34" charset="0"/>
                    <a:ea typeface="+mn-ea"/>
                    <a:cs typeface="+mn-cs"/>
                  </a:defRPr>
                </a:pPr>
                <a:endParaRPr lang="en-US"/>
              </a:p>
            </c:txP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'[Capital Graph.xlsx]5. Graphs'!$B$27:$B$34</c:f>
              <c:strCache>
                <c:ptCount val="7"/>
                <c:pt idx="0">
                  <c:v>Centrally Held Budgets</c:v>
                </c:pt>
                <c:pt idx="1">
                  <c:v>Public Health</c:v>
                </c:pt>
                <c:pt idx="2">
                  <c:v>Communities, Economy, Transport</c:v>
                </c:pt>
                <c:pt idx="3">
                  <c:v>Governance Services</c:v>
                </c:pt>
                <c:pt idx="4">
                  <c:v>Business Services / Orbis</c:v>
                </c:pt>
                <c:pt idx="5">
                  <c:v>Adult Social Care</c:v>
                </c:pt>
                <c:pt idx="6">
                  <c:v>Children's Services</c:v>
                </c:pt>
              </c:strCache>
            </c:strRef>
          </c:cat>
          <c:val>
            <c:numRef>
              <c:f>'[Capital Graph.xlsx]5. Graphs'!$C$27:$C$34</c:f>
              <c:numCache>
                <c:formatCode>General</c:formatCode>
                <c:ptCount val="8"/>
                <c:pt idx="0">
                  <c:v>45.9</c:v>
                </c:pt>
                <c:pt idx="1">
                  <c:v>32.799999999999997</c:v>
                </c:pt>
                <c:pt idx="2">
                  <c:v>161.6</c:v>
                </c:pt>
                <c:pt idx="3">
                  <c:v>9.5</c:v>
                </c:pt>
                <c:pt idx="4">
                  <c:v>58.1</c:v>
                </c:pt>
                <c:pt idx="5">
                  <c:v>378.3</c:v>
                </c:pt>
                <c:pt idx="6">
                  <c:v>385.6</c:v>
                </c:pt>
              </c:numCache>
            </c:numRef>
          </c:val>
          <c:extLst>
            <c:ext xmlns:c16="http://schemas.microsoft.com/office/drawing/2014/chart" uri="{C3380CC4-5D6E-409C-BE32-E72D297353CC}">
              <c16:uniqueId val="{00000010-D022-43EA-8B86-ECF77DBDC392}"/>
            </c:ext>
          </c:extLst>
        </c:ser>
        <c:dLbls>
          <c:showLegendKey val="0"/>
          <c:showVal val="1"/>
          <c:showCatName val="1"/>
          <c:showSerName val="0"/>
          <c:showPercent val="0"/>
          <c:showBubbleSize val="0"/>
          <c:showLeaderLines val="1"/>
        </c:dLbls>
        <c:firstSliceAng val="0"/>
        <c:holeSize val="50"/>
      </c:doughnut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userShapes r:id="rId5"/>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doughnut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4EE2-4B68-8298-5C19D6CC7FFB}"/>
              </c:ext>
            </c:extLst>
          </c:dPt>
          <c:dPt>
            <c:idx val="1"/>
            <c:bubble3D val="0"/>
            <c:spPr>
              <a:solidFill>
                <a:srgbClr val="7030A0"/>
              </a:solidFill>
              <a:ln w="19050">
                <a:solidFill>
                  <a:schemeClr val="lt1"/>
                </a:solidFill>
              </a:ln>
              <a:effectLst/>
            </c:spPr>
            <c:extLst>
              <c:ext xmlns:c16="http://schemas.microsoft.com/office/drawing/2014/chart" uri="{C3380CC4-5D6E-409C-BE32-E72D297353CC}">
                <c16:uniqueId val="{00000003-4EE2-4B68-8298-5C19D6CC7FFB}"/>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4EE2-4B68-8298-5C19D6CC7FFB}"/>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4EE2-4B68-8298-5C19D6CC7FFB}"/>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4EE2-4B68-8298-5C19D6CC7FFB}"/>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4EE2-4B68-8298-5C19D6CC7FFB}"/>
              </c:ext>
            </c:extLst>
          </c:dPt>
          <c:dPt>
            <c:idx val="6"/>
            <c:bubble3D val="0"/>
            <c:spPr>
              <a:solidFill>
                <a:schemeClr val="accent2"/>
              </a:solidFill>
              <a:ln w="19050">
                <a:solidFill>
                  <a:schemeClr val="lt1"/>
                </a:solidFill>
              </a:ln>
              <a:effectLst/>
            </c:spPr>
            <c:extLst>
              <c:ext xmlns:c16="http://schemas.microsoft.com/office/drawing/2014/chart" uri="{C3380CC4-5D6E-409C-BE32-E72D297353CC}">
                <c16:uniqueId val="{0000000D-4EE2-4B68-8298-5C19D6CC7FFB}"/>
              </c:ext>
            </c:extLst>
          </c:dPt>
          <c:dLbls>
            <c:dLbl>
              <c:idx val="0"/>
              <c:layout>
                <c:manualLayout>
                  <c:x val="0.22261486576498873"/>
                  <c:y val="-9.2592592592592615E-2"/>
                </c:manualLayout>
              </c:layout>
              <c:tx>
                <c:rich>
                  <a:bodyPr/>
                  <a:lstStyle/>
                  <a:p>
                    <a:fld id="{F5E700B9-24DA-452C-A67D-2925361F7BEE}" type="CATEGORYNAME">
                      <a:rPr lang="en-US"/>
                      <a:pPr/>
                      <a:t>[CATEGORY NAME]</a:t>
                    </a:fld>
                    <a:r>
                      <a:rPr lang="en-US" baseline="0"/>
                      <a:t>, </a:t>
                    </a:r>
                    <a:fld id="{392D954E-40AA-417C-BAEA-D207E40F4D34}" type="VALUE">
                      <a:rPr lang="en-US" baseline="0"/>
                      <a:pPr/>
                      <a:t>[VALUE]</a:t>
                    </a:fld>
                    <a:r>
                      <a:rPr lang="en-US" baseline="0"/>
                      <a:t>m</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4EE2-4B68-8298-5C19D6CC7FFB}"/>
                </c:ext>
              </c:extLst>
            </c:dLbl>
            <c:dLbl>
              <c:idx val="1"/>
              <c:layout>
                <c:manualLayout>
                  <c:x val="0.17067139708649134"/>
                  <c:y val="-4.4444444444444446E-2"/>
                </c:manualLayout>
              </c:layout>
              <c:tx>
                <c:rich>
                  <a:bodyPr/>
                  <a:lstStyle/>
                  <a:p>
                    <a:fld id="{9297B267-81B0-4D0B-87A8-22F7C81F3149}" type="CATEGORYNAME">
                      <a:rPr lang="en-US"/>
                      <a:pPr/>
                      <a:t>[CATEGORY NAME]</a:t>
                    </a:fld>
                    <a:r>
                      <a:rPr lang="en-US" baseline="0"/>
                      <a:t>, </a:t>
                    </a:r>
                    <a:fld id="{CAE29FBF-F86E-4877-81F4-48921FF5E395}" type="VALUE">
                      <a:rPr lang="en-US" baseline="0"/>
                      <a:pPr/>
                      <a:t>[VALUE]</a:t>
                    </a:fld>
                    <a:r>
                      <a:rPr lang="en-US" baseline="0"/>
                      <a:t>m</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4EE2-4B68-8298-5C19D6CC7FFB}"/>
                </c:ext>
              </c:extLst>
            </c:dLbl>
            <c:dLbl>
              <c:idx val="2"/>
              <c:layout>
                <c:manualLayout>
                  <c:x val="0.20282687769698962"/>
                  <c:y val="0.25185185185185183"/>
                </c:manualLayout>
              </c:layout>
              <c:tx>
                <c:rich>
                  <a:bodyPr/>
                  <a:lstStyle/>
                  <a:p>
                    <a:fld id="{A27565D3-36FC-4201-B8F6-BE007BD86299}" type="CATEGORYNAME">
                      <a:rPr lang="en-US"/>
                      <a:pPr/>
                      <a:t>[CATEGORY NAME]</a:t>
                    </a:fld>
                    <a:r>
                      <a:rPr lang="en-US" baseline="0"/>
                      <a:t>, </a:t>
                    </a:r>
                    <a:fld id="{8BFA1C54-F3C2-4C35-80FD-DB5C823B5013}" type="VALUE">
                      <a:rPr lang="en-US" baseline="0"/>
                      <a:pPr/>
                      <a:t>[VALUE]</a:t>
                    </a:fld>
                    <a:r>
                      <a:rPr lang="en-US" baseline="0"/>
                      <a:t>m</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4EE2-4B68-8298-5C19D6CC7FFB}"/>
                </c:ext>
              </c:extLst>
            </c:dLbl>
            <c:dLbl>
              <c:idx val="3"/>
              <c:layout>
                <c:manualLayout>
                  <c:x val="-0.33144880013898337"/>
                  <c:y val="0.1"/>
                </c:manualLayout>
              </c:layout>
              <c:tx>
                <c:rich>
                  <a:bodyPr/>
                  <a:lstStyle/>
                  <a:p>
                    <a:fld id="{B963E7CE-2072-48D3-BC10-45EC42A8C6AC}" type="CATEGORYNAME">
                      <a:rPr lang="en-US"/>
                      <a:pPr/>
                      <a:t>[CATEGORY NAME]</a:t>
                    </a:fld>
                    <a:r>
                      <a:rPr lang="en-US" baseline="0"/>
                      <a:t>, </a:t>
                    </a:r>
                    <a:fld id="{FA710CED-991A-4B2C-A907-F5487B408B46}" type="VALUE">
                      <a:rPr lang="en-US" baseline="0"/>
                      <a:pPr/>
                      <a:t>[VALUE]</a:t>
                    </a:fld>
                    <a:r>
                      <a:rPr lang="en-US" baseline="0"/>
                      <a:t>m</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4EE2-4B68-8298-5C19D6CC7FFB}"/>
                </c:ext>
              </c:extLst>
            </c:dLbl>
            <c:dLbl>
              <c:idx val="4"/>
              <c:layout>
                <c:manualLayout>
                  <c:x val="-0.18303888962899081"/>
                  <c:y val="1.4814814814814815E-2"/>
                </c:manualLayout>
              </c:layout>
              <c:tx>
                <c:rich>
                  <a:bodyPr/>
                  <a:lstStyle/>
                  <a:p>
                    <a:fld id="{DF90804A-E31C-4C63-86A7-427F5B055BD1}" type="CATEGORYNAME">
                      <a:rPr lang="en-US"/>
                      <a:pPr/>
                      <a:t>[CATEGORY NAME]</a:t>
                    </a:fld>
                    <a:r>
                      <a:rPr lang="en-US" baseline="0"/>
                      <a:t>, </a:t>
                    </a:r>
                    <a:fld id="{66DB1ECD-DF2E-4CBF-AAF4-CCA9A3057E14}" type="VALUE">
                      <a:rPr lang="en-US" baseline="0"/>
                      <a:pPr/>
                      <a:t>[VALUE]</a:t>
                    </a:fld>
                    <a:r>
                      <a:rPr lang="en-US" baseline="0"/>
                      <a:t>m</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4EE2-4B68-8298-5C19D6CC7FFB}"/>
                </c:ext>
              </c:extLst>
            </c:dLbl>
            <c:dLbl>
              <c:idx val="5"/>
              <c:layout>
                <c:manualLayout>
                  <c:x val="-0.18551238813749069"/>
                  <c:y val="-4.4444444444444481E-2"/>
                </c:manualLayout>
              </c:layout>
              <c:tx>
                <c:rich>
                  <a:bodyPr/>
                  <a:lstStyle/>
                  <a:p>
                    <a:fld id="{0914F2B7-E585-4850-99C0-7339A1A4DD2A}" type="CATEGORYNAME">
                      <a:rPr lang="en-US"/>
                      <a:pPr/>
                      <a:t>[CATEGORY NAME]</a:t>
                    </a:fld>
                    <a:r>
                      <a:rPr lang="en-US" baseline="0"/>
                      <a:t>, </a:t>
                    </a:r>
                    <a:fld id="{C442CD32-A100-4D78-9E64-9BED3C4A87FC}" type="VALUE">
                      <a:rPr lang="en-US" baseline="0"/>
                      <a:pPr/>
                      <a:t>[VALUE]</a:t>
                    </a:fld>
                    <a:r>
                      <a:rPr lang="en-US" baseline="0"/>
                      <a:t>m</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B-4EE2-4B68-8298-5C19D6CC7FFB}"/>
                </c:ext>
              </c:extLst>
            </c:dLbl>
            <c:dLbl>
              <c:idx val="6"/>
              <c:layout>
                <c:manualLayout>
                  <c:x val="-8.9045946305995521E-2"/>
                  <c:y val="-0.15925925925925927"/>
                </c:manualLayout>
              </c:layout>
              <c:tx>
                <c:rich>
                  <a:bodyPr/>
                  <a:lstStyle/>
                  <a:p>
                    <a:fld id="{50A6D771-DF39-4BF0-B137-8DB7437E0FE0}" type="CATEGORYNAME">
                      <a:rPr lang="en-US"/>
                      <a:pPr/>
                      <a:t>[CATEGORY NAME]</a:t>
                    </a:fld>
                    <a:r>
                      <a:rPr lang="en-US" baseline="0"/>
                      <a:t>, </a:t>
                    </a:r>
                    <a:fld id="{5DC5C5E4-B981-4C6C-B251-CEFC80308EE8}" type="VALUE">
                      <a:rPr lang="en-US" baseline="0"/>
                      <a:pPr/>
                      <a:t>[VALUE]</a:t>
                    </a:fld>
                    <a:r>
                      <a:rPr lang="en-US" baseline="0"/>
                      <a:t>m</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D-4EE2-4B68-8298-5C19D6CC7FFB}"/>
                </c:ext>
              </c:extLst>
            </c:dLbl>
            <c:numFmt formatCode="&quot;£&quot;#,##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rebuchet MS" panose="020B0603020202020204" pitchFamily="34" charset="0"/>
                    <a:ea typeface="+mn-ea"/>
                    <a:cs typeface="+mn-cs"/>
                  </a:defRPr>
                </a:pPr>
                <a:endParaRPr lang="en-US"/>
              </a:p>
            </c:txP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'5. Graphs'!$B$4:$B$10</c:f>
              <c:strCache>
                <c:ptCount val="7"/>
                <c:pt idx="0">
                  <c:v>Building Maintenance, Security &amp; Efficiency</c:v>
                </c:pt>
                <c:pt idx="1">
                  <c:v>Community &amp; Social Care Facilities</c:v>
                </c:pt>
                <c:pt idx="2">
                  <c:v>Economic Growth &amp; Strategic Infrastructure</c:v>
                </c:pt>
                <c:pt idx="3">
                  <c:v>Highways and Structural Maintenance</c:v>
                </c:pt>
                <c:pt idx="4">
                  <c:v>Integrated Transport Services</c:v>
                </c:pt>
                <c:pt idx="5">
                  <c:v>Climate and Envionmental Projects</c:v>
                </c:pt>
                <c:pt idx="6">
                  <c:v>Schools</c:v>
                </c:pt>
              </c:strCache>
            </c:strRef>
          </c:cat>
          <c:val>
            <c:numRef>
              <c:f>'5. Graphs'!$C$4:$C$10</c:f>
              <c:numCache>
                <c:formatCode>#,##0.0</c:formatCode>
                <c:ptCount val="7"/>
                <c:pt idx="0">
                  <c:v>13.2</c:v>
                </c:pt>
                <c:pt idx="1">
                  <c:v>9.6</c:v>
                </c:pt>
                <c:pt idx="2">
                  <c:v>1.2</c:v>
                </c:pt>
                <c:pt idx="3">
                  <c:v>38.1</c:v>
                </c:pt>
                <c:pt idx="4">
                  <c:v>16.5</c:v>
                </c:pt>
                <c:pt idx="5">
                  <c:v>4.7</c:v>
                </c:pt>
                <c:pt idx="6">
                  <c:v>13.4</c:v>
                </c:pt>
              </c:numCache>
            </c:numRef>
          </c:val>
          <c:extLst>
            <c:ext xmlns:c16="http://schemas.microsoft.com/office/drawing/2014/chart" uri="{C3380CC4-5D6E-409C-BE32-E72D297353CC}">
              <c16:uniqueId val="{0000000E-4EE2-4B68-8298-5C19D6CC7FFB}"/>
            </c:ext>
          </c:extLst>
        </c:ser>
        <c:dLbls>
          <c:showLegendKey val="0"/>
          <c:showVal val="1"/>
          <c:showCatName val="1"/>
          <c:showSerName val="0"/>
          <c:showPercent val="0"/>
          <c:showBubbleSize val="0"/>
          <c:showLeaderLines val="1"/>
        </c:dLbls>
        <c:firstSliceAng val="0"/>
        <c:holeSize val="50"/>
      </c:doughnut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0.41732</cdr:x>
      <cdr:y>0.42857</cdr:y>
    </cdr:from>
    <cdr:to>
      <cdr:x>0.60051</cdr:x>
      <cdr:y>0.56303</cdr:y>
    </cdr:to>
    <cdr:sp macro="" textlink="">
      <cdr:nvSpPr>
        <cdr:cNvPr id="2" name="Text Box 1"/>
        <cdr:cNvSpPr txBox="1"/>
      </cdr:nvSpPr>
      <cdr:spPr>
        <a:xfrm xmlns:a="http://schemas.openxmlformats.org/drawingml/2006/main">
          <a:off x="2096134" y="1295400"/>
          <a:ext cx="920116" cy="406400"/>
        </a:xfrm>
        <a:prstGeom xmlns:a="http://schemas.openxmlformats.org/drawingml/2006/main" prst="rect">
          <a:avLst/>
        </a:prstGeom>
        <a:solidFill xmlns:a="http://schemas.openxmlformats.org/drawingml/2006/main">
          <a:schemeClr val="lt1"/>
        </a:solidFill>
        <a:ln xmlns:a="http://schemas.openxmlformats.org/drawingml/2006/main" w="6350">
          <a:noFill/>
        </a:ln>
      </cdr:spPr>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GB" sz="1050" b="1" kern="100">
              <a:effectLst/>
              <a:latin typeface="Trebuchet MS" panose="020B0603020202020204" pitchFamily="34" charset="0"/>
              <a:ea typeface="Calibri" panose="020F0502020204030204" pitchFamily="34" charset="0"/>
              <a:cs typeface="Times New Roman" panose="02020603050405020304" pitchFamily="18" charset="0"/>
            </a:rPr>
            <a:t>    Total £1,071.8m</a:t>
          </a:r>
          <a:endParaRPr lang="en-GB" sz="1050" kern="100">
            <a:effectLst/>
            <a:latin typeface="Calibri" panose="020F0502020204030204" pitchFamily="34" charset="0"/>
            <a:ea typeface="Calibri" panose="020F0502020204030204" pitchFamily="34" charset="0"/>
            <a:cs typeface="Times New Roman" panose="02020603050405020304" pitchFamily="18"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15</TotalTime>
  <Pages>3</Pages>
  <Words>554</Words>
  <Characters>3164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Galley</dc:creator>
  <cp:keywords/>
  <dc:description/>
  <cp:lastModifiedBy>Helen Galley</cp:lastModifiedBy>
  <cp:revision>3</cp:revision>
  <dcterms:created xsi:type="dcterms:W3CDTF">2024-05-10T17:18:00Z</dcterms:created>
  <dcterms:modified xsi:type="dcterms:W3CDTF">2024-05-12T09:54:00Z</dcterms:modified>
</cp:coreProperties>
</file>